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96F" w:rsidRDefault="00F8196F" w:rsidP="00F8196F">
      <w:pPr>
        <w:pStyle w:val="a3"/>
        <w:jc w:val="center"/>
        <w:rPr>
          <w:rFonts w:ascii="黑体" w:eastAsia="黑体" w:hAnsi="黑体" w:hint="eastAsia"/>
          <w:sz w:val="44"/>
          <w:szCs w:val="44"/>
        </w:rPr>
      </w:pPr>
      <w:r w:rsidRPr="00F8196F">
        <w:rPr>
          <w:rFonts w:ascii="黑体" w:eastAsia="黑体" w:hAnsi="黑体" w:hint="eastAsia"/>
          <w:sz w:val="44"/>
          <w:szCs w:val="44"/>
        </w:rPr>
        <w:t>2022年度上海市人民政府决策咨询研究</w:t>
      </w:r>
    </w:p>
    <w:p w:rsidR="00F8196F" w:rsidRPr="00F8196F" w:rsidRDefault="00F8196F" w:rsidP="00F8196F">
      <w:pPr>
        <w:pStyle w:val="a3"/>
        <w:jc w:val="center"/>
        <w:rPr>
          <w:rFonts w:ascii="黑体" w:eastAsia="黑体" w:hAnsi="黑体" w:hint="eastAsia"/>
          <w:sz w:val="44"/>
          <w:szCs w:val="44"/>
        </w:rPr>
      </w:pPr>
      <w:r w:rsidRPr="00F8196F">
        <w:rPr>
          <w:rFonts w:ascii="黑体" w:eastAsia="黑体" w:hAnsi="黑体" w:hint="eastAsia"/>
          <w:sz w:val="44"/>
          <w:szCs w:val="44"/>
        </w:rPr>
        <w:t>教育政策专项课题指南</w:t>
      </w:r>
    </w:p>
    <w:p w:rsidR="00F8196F" w:rsidRPr="00F8196F" w:rsidRDefault="00F8196F" w:rsidP="00F8196F">
      <w:pPr>
        <w:pStyle w:val="a3"/>
        <w:ind w:firstLine="480"/>
        <w:rPr>
          <w:rFonts w:ascii="方正仿宋_GBK" w:eastAsia="方正仿宋_GBK" w:hint="eastAsia"/>
          <w:sz w:val="32"/>
          <w:szCs w:val="32"/>
        </w:rPr>
      </w:pPr>
      <w:r w:rsidRPr="00F8196F">
        <w:rPr>
          <w:rFonts w:eastAsia="方正仿宋_GBK" w:hint="eastAsia"/>
          <w:sz w:val="32"/>
          <w:szCs w:val="32"/>
        </w:rPr>
        <w:t> </w:t>
      </w:r>
    </w:p>
    <w:p w:rsidR="00F8196F" w:rsidRPr="00F8196F" w:rsidRDefault="00F8196F" w:rsidP="00F8196F">
      <w:pPr>
        <w:pStyle w:val="a3"/>
        <w:ind w:firstLine="480"/>
        <w:rPr>
          <w:rFonts w:ascii="方正仿宋_GBK" w:eastAsia="方正仿宋_GBK" w:hint="eastAsia"/>
          <w:sz w:val="32"/>
          <w:szCs w:val="32"/>
        </w:rPr>
      </w:pPr>
      <w:r w:rsidRPr="00F8196F">
        <w:rPr>
          <w:rStyle w:val="a4"/>
          <w:rFonts w:ascii="方正仿宋_GBK" w:eastAsia="方正仿宋_GBK" w:hint="eastAsia"/>
          <w:sz w:val="32"/>
          <w:szCs w:val="32"/>
        </w:rPr>
        <w:t>一、上海高等教育中长期（2022-2035）学科专业布局优化研究</w:t>
      </w:r>
    </w:p>
    <w:p w:rsidR="00F8196F" w:rsidRPr="00F8196F" w:rsidRDefault="00F8196F" w:rsidP="00F8196F">
      <w:pPr>
        <w:pStyle w:val="a3"/>
        <w:ind w:firstLine="480"/>
        <w:rPr>
          <w:rFonts w:ascii="方正仿宋_GBK" w:eastAsia="方正仿宋_GBK" w:hint="eastAsia"/>
          <w:sz w:val="32"/>
          <w:szCs w:val="32"/>
        </w:rPr>
      </w:pPr>
      <w:r w:rsidRPr="00F8196F">
        <w:rPr>
          <w:rFonts w:ascii="方正仿宋_GBK" w:eastAsia="方正仿宋_GBK" w:hint="eastAsia"/>
          <w:sz w:val="32"/>
          <w:szCs w:val="32"/>
        </w:rPr>
        <w:t>研究重点：对接上海市中长期发展目标，研究支撑“五个中心”和人民城市建设需求的学科专业规模和结构，以及交叉学科和未来学科的布局，为迈向具有世界影响力的社会主义现代化国际大都市构建具有国际竞争力的高等教育人才培养体系。</w:t>
      </w:r>
    </w:p>
    <w:p w:rsidR="00F8196F" w:rsidRPr="00F8196F" w:rsidRDefault="00F8196F" w:rsidP="00F8196F">
      <w:pPr>
        <w:pStyle w:val="a3"/>
        <w:ind w:firstLine="480"/>
        <w:rPr>
          <w:rFonts w:ascii="方正仿宋_GBK" w:eastAsia="方正仿宋_GBK" w:hint="eastAsia"/>
          <w:sz w:val="32"/>
          <w:szCs w:val="32"/>
        </w:rPr>
      </w:pPr>
      <w:r w:rsidRPr="00F8196F">
        <w:rPr>
          <w:rStyle w:val="a4"/>
          <w:rFonts w:ascii="方正仿宋_GBK" w:eastAsia="方正仿宋_GBK" w:hint="eastAsia"/>
          <w:sz w:val="32"/>
          <w:szCs w:val="32"/>
        </w:rPr>
        <w:t>二、上海教育数字化转型的路径与模式研究</w:t>
      </w:r>
    </w:p>
    <w:p w:rsidR="00F8196F" w:rsidRPr="00F8196F" w:rsidRDefault="00F8196F" w:rsidP="00F8196F">
      <w:pPr>
        <w:pStyle w:val="a3"/>
        <w:ind w:firstLine="480"/>
        <w:rPr>
          <w:rFonts w:ascii="方正仿宋_GBK" w:eastAsia="方正仿宋_GBK" w:hint="eastAsia"/>
          <w:sz w:val="32"/>
          <w:szCs w:val="32"/>
        </w:rPr>
      </w:pPr>
      <w:r w:rsidRPr="00F8196F">
        <w:rPr>
          <w:rFonts w:ascii="方正仿宋_GBK" w:eastAsia="方正仿宋_GBK" w:hint="eastAsia"/>
          <w:sz w:val="32"/>
          <w:szCs w:val="32"/>
        </w:rPr>
        <w:t>研究重点：</w:t>
      </w:r>
      <w:proofErr w:type="gramStart"/>
      <w:r w:rsidRPr="00F8196F">
        <w:rPr>
          <w:rFonts w:ascii="方正仿宋_GBK" w:eastAsia="方正仿宋_GBK" w:hint="eastAsia"/>
          <w:sz w:val="32"/>
          <w:szCs w:val="32"/>
        </w:rPr>
        <w:t>调研长</w:t>
      </w:r>
      <w:proofErr w:type="gramEnd"/>
      <w:r w:rsidRPr="00F8196F">
        <w:rPr>
          <w:rFonts w:ascii="方正仿宋_GBK" w:eastAsia="方正仿宋_GBK" w:hint="eastAsia"/>
          <w:sz w:val="32"/>
          <w:szCs w:val="32"/>
        </w:rPr>
        <w:t>三角教育数字化建设情况，深入剖析国际上教育数字化推进的最新进展，并在此基础上开展与上海教育数字化建设的比较研究，重在形成以教育新模式、新理念为引领的上海教育数字化发展新路径，改变技术主导学校信息化建设的现状，积极构建教育数字化转型的上海模式。</w:t>
      </w:r>
    </w:p>
    <w:p w:rsidR="00F8196F" w:rsidRPr="00F8196F" w:rsidRDefault="00F8196F" w:rsidP="00F8196F">
      <w:pPr>
        <w:pStyle w:val="a3"/>
        <w:ind w:firstLine="480"/>
        <w:rPr>
          <w:rFonts w:ascii="方正仿宋_GBK" w:eastAsia="方正仿宋_GBK" w:hint="eastAsia"/>
          <w:sz w:val="32"/>
          <w:szCs w:val="32"/>
        </w:rPr>
      </w:pPr>
      <w:r w:rsidRPr="00F8196F">
        <w:rPr>
          <w:rStyle w:val="a4"/>
          <w:rFonts w:ascii="方正仿宋_GBK" w:eastAsia="方正仿宋_GBK" w:hint="eastAsia"/>
          <w:sz w:val="32"/>
          <w:szCs w:val="32"/>
        </w:rPr>
        <w:t>三、上海市中小学科技素养教育高质量发展研究</w:t>
      </w:r>
    </w:p>
    <w:p w:rsidR="00F8196F" w:rsidRPr="00F8196F" w:rsidRDefault="00F8196F" w:rsidP="00F8196F">
      <w:pPr>
        <w:pStyle w:val="a3"/>
        <w:ind w:firstLine="480"/>
        <w:rPr>
          <w:rFonts w:ascii="方正仿宋_GBK" w:eastAsia="方正仿宋_GBK" w:hint="eastAsia"/>
          <w:sz w:val="32"/>
          <w:szCs w:val="32"/>
        </w:rPr>
      </w:pPr>
      <w:r w:rsidRPr="00F8196F">
        <w:rPr>
          <w:rFonts w:ascii="方正仿宋_GBK" w:eastAsia="方正仿宋_GBK" w:hint="eastAsia"/>
          <w:sz w:val="32"/>
          <w:szCs w:val="32"/>
        </w:rPr>
        <w:lastRenderedPageBreak/>
        <w:t>研究重点：对标打造国内一流、国际领先的城市中小学科技素养教育体系，就上海市中小学科技素养教育高质量发展的指导思想、内涵界定、核心要义进行系统梳理分析，针对发展现状及瓶颈问题开展调研，探索具体实施路径及保障措施，全面构建我国城市中小学生科技素养教育高质量发展的上海模式。</w:t>
      </w:r>
    </w:p>
    <w:p w:rsidR="00F8196F" w:rsidRPr="00F8196F" w:rsidRDefault="00F8196F" w:rsidP="00F8196F">
      <w:pPr>
        <w:pStyle w:val="a3"/>
        <w:ind w:firstLine="480"/>
        <w:rPr>
          <w:rFonts w:ascii="方正仿宋_GBK" w:eastAsia="方正仿宋_GBK" w:hint="eastAsia"/>
          <w:sz w:val="32"/>
          <w:szCs w:val="32"/>
        </w:rPr>
      </w:pPr>
      <w:r w:rsidRPr="00F8196F">
        <w:rPr>
          <w:rStyle w:val="a4"/>
          <w:rFonts w:ascii="方正仿宋_GBK" w:eastAsia="方正仿宋_GBK" w:hint="eastAsia"/>
          <w:sz w:val="32"/>
          <w:szCs w:val="32"/>
        </w:rPr>
        <w:t>四、北京、上海、粤港澳大湾区三地高校人才政策比较分析</w:t>
      </w:r>
    </w:p>
    <w:p w:rsidR="00F8196F" w:rsidRPr="00F8196F" w:rsidRDefault="00F8196F" w:rsidP="00F8196F">
      <w:pPr>
        <w:pStyle w:val="a3"/>
        <w:ind w:firstLine="480"/>
        <w:rPr>
          <w:rFonts w:ascii="方正仿宋_GBK" w:eastAsia="方正仿宋_GBK" w:hint="eastAsia"/>
          <w:sz w:val="32"/>
          <w:szCs w:val="32"/>
        </w:rPr>
      </w:pPr>
      <w:r w:rsidRPr="00F8196F">
        <w:rPr>
          <w:rFonts w:ascii="方正仿宋_GBK" w:eastAsia="方正仿宋_GBK" w:hint="eastAsia"/>
          <w:sz w:val="32"/>
          <w:szCs w:val="32"/>
        </w:rPr>
        <w:t>研究重点：开展北京、上海、粤港澳大湾区三地政府支持高校人才队伍建设的政策比较分析（包括支持政策主要内容、支持模式、支持力度、配套制度建设等），以及三地代表性高校校本为主的人才政策比较分析，从而为完善上海高校人才政策提出具有针对性的建议。</w:t>
      </w:r>
    </w:p>
    <w:p w:rsidR="00F8196F" w:rsidRPr="00F8196F" w:rsidRDefault="00F8196F" w:rsidP="00F8196F">
      <w:pPr>
        <w:pStyle w:val="a3"/>
        <w:ind w:firstLine="480"/>
        <w:rPr>
          <w:rFonts w:ascii="方正仿宋_GBK" w:eastAsia="方正仿宋_GBK" w:hint="eastAsia"/>
          <w:sz w:val="32"/>
          <w:szCs w:val="32"/>
        </w:rPr>
      </w:pPr>
      <w:r w:rsidRPr="00F8196F">
        <w:rPr>
          <w:rStyle w:val="a4"/>
          <w:rFonts w:ascii="方正仿宋_GBK" w:eastAsia="方正仿宋_GBK" w:hint="eastAsia"/>
          <w:sz w:val="32"/>
          <w:szCs w:val="32"/>
        </w:rPr>
        <w:t>五、新形势下校外培训机构社会共治路径研究</w:t>
      </w:r>
    </w:p>
    <w:p w:rsidR="00F8196F" w:rsidRPr="00F8196F" w:rsidRDefault="00F8196F" w:rsidP="00F8196F">
      <w:pPr>
        <w:pStyle w:val="a3"/>
        <w:ind w:firstLine="480"/>
        <w:rPr>
          <w:rFonts w:ascii="方正仿宋_GBK" w:eastAsia="方正仿宋_GBK" w:hint="eastAsia"/>
          <w:sz w:val="32"/>
          <w:szCs w:val="32"/>
        </w:rPr>
      </w:pPr>
      <w:r w:rsidRPr="00F8196F">
        <w:rPr>
          <w:rFonts w:ascii="方正仿宋_GBK" w:eastAsia="方正仿宋_GBK" w:hint="eastAsia"/>
          <w:sz w:val="32"/>
          <w:szCs w:val="32"/>
        </w:rPr>
        <w:t>研究重点：从社会治理理论出发，分析新形势下通过校外培训机构社会共治机制实现“双减”目标的基础条件和现实可行性，积极探索打造校外培训市场社会治理共同体的有效路径。</w:t>
      </w:r>
    </w:p>
    <w:p w:rsidR="00F8196F" w:rsidRPr="00F8196F" w:rsidRDefault="00F8196F" w:rsidP="00F8196F">
      <w:pPr>
        <w:pStyle w:val="a3"/>
        <w:ind w:firstLine="480"/>
        <w:rPr>
          <w:rFonts w:ascii="方正仿宋_GBK" w:eastAsia="方正仿宋_GBK" w:hint="eastAsia"/>
          <w:sz w:val="32"/>
          <w:szCs w:val="32"/>
        </w:rPr>
      </w:pPr>
      <w:r w:rsidRPr="00F8196F">
        <w:rPr>
          <w:rStyle w:val="a4"/>
          <w:rFonts w:ascii="方正仿宋_GBK" w:eastAsia="方正仿宋_GBK" w:hint="eastAsia"/>
          <w:sz w:val="32"/>
          <w:szCs w:val="32"/>
        </w:rPr>
        <w:t>六、上海职教师资培养的模式创新和实施路径研究</w:t>
      </w:r>
    </w:p>
    <w:p w:rsidR="00F8196F" w:rsidRPr="00F8196F" w:rsidRDefault="00F8196F" w:rsidP="00F8196F">
      <w:pPr>
        <w:pStyle w:val="a3"/>
        <w:ind w:firstLine="480"/>
        <w:rPr>
          <w:rFonts w:ascii="方正仿宋_GBK" w:eastAsia="方正仿宋_GBK" w:hint="eastAsia"/>
          <w:sz w:val="32"/>
          <w:szCs w:val="32"/>
        </w:rPr>
      </w:pPr>
      <w:r w:rsidRPr="00F8196F">
        <w:rPr>
          <w:rFonts w:ascii="方正仿宋_GBK" w:eastAsia="方正仿宋_GBK" w:hint="eastAsia"/>
          <w:sz w:val="32"/>
          <w:szCs w:val="32"/>
        </w:rPr>
        <w:lastRenderedPageBreak/>
        <w:t>研究重点：在总结提炼上海市职业技术教师教育改革经验和成效的基础上，面向产业需求，对</w:t>
      </w:r>
      <w:proofErr w:type="gramStart"/>
      <w:r w:rsidRPr="00F8196F">
        <w:rPr>
          <w:rFonts w:ascii="方正仿宋_GBK" w:eastAsia="方正仿宋_GBK" w:hint="eastAsia"/>
          <w:sz w:val="32"/>
          <w:szCs w:val="32"/>
        </w:rPr>
        <w:t>标世界</w:t>
      </w:r>
      <w:proofErr w:type="gramEnd"/>
      <w:r w:rsidRPr="00F8196F">
        <w:rPr>
          <w:rFonts w:ascii="方正仿宋_GBK" w:eastAsia="方正仿宋_GBK" w:hint="eastAsia"/>
          <w:sz w:val="32"/>
          <w:szCs w:val="32"/>
        </w:rPr>
        <w:t>水准，基于类型定位，紧紧围绕治理体系、培养模式、师资队伍、课程体系、基地建设等内容，就上海高水平职教师资培养的模式创新与实施路径提出政策建议。</w:t>
      </w:r>
    </w:p>
    <w:p w:rsidR="00F8196F" w:rsidRPr="00F8196F" w:rsidRDefault="00F8196F" w:rsidP="00F8196F">
      <w:pPr>
        <w:pStyle w:val="a3"/>
        <w:ind w:firstLine="480"/>
        <w:rPr>
          <w:rFonts w:ascii="方正仿宋_GBK" w:eastAsia="方正仿宋_GBK" w:hint="eastAsia"/>
          <w:sz w:val="32"/>
          <w:szCs w:val="32"/>
        </w:rPr>
      </w:pPr>
      <w:r w:rsidRPr="00F8196F">
        <w:rPr>
          <w:rStyle w:val="a4"/>
          <w:rFonts w:ascii="方正仿宋_GBK" w:eastAsia="方正仿宋_GBK" w:hint="eastAsia"/>
          <w:sz w:val="32"/>
          <w:szCs w:val="32"/>
        </w:rPr>
        <w:t>七、“双减”政策入法入</w:t>
      </w:r>
      <w:proofErr w:type="gramStart"/>
      <w:r w:rsidRPr="00F8196F">
        <w:rPr>
          <w:rStyle w:val="a4"/>
          <w:rFonts w:ascii="方正仿宋_GBK" w:eastAsia="方正仿宋_GBK" w:hint="eastAsia"/>
          <w:sz w:val="32"/>
          <w:szCs w:val="32"/>
        </w:rPr>
        <w:t>规</w:t>
      </w:r>
      <w:proofErr w:type="gramEnd"/>
      <w:r w:rsidRPr="00F8196F">
        <w:rPr>
          <w:rStyle w:val="a4"/>
          <w:rFonts w:ascii="方正仿宋_GBK" w:eastAsia="方正仿宋_GBK" w:hint="eastAsia"/>
          <w:sz w:val="32"/>
          <w:szCs w:val="32"/>
        </w:rPr>
        <w:t>路径研究</w:t>
      </w:r>
    </w:p>
    <w:p w:rsidR="00F8196F" w:rsidRPr="00F8196F" w:rsidRDefault="00F8196F" w:rsidP="00F8196F">
      <w:pPr>
        <w:pStyle w:val="a3"/>
        <w:ind w:firstLine="480"/>
        <w:rPr>
          <w:rFonts w:ascii="方正仿宋_GBK" w:eastAsia="方正仿宋_GBK" w:hint="eastAsia"/>
          <w:sz w:val="32"/>
          <w:szCs w:val="32"/>
        </w:rPr>
      </w:pPr>
      <w:r w:rsidRPr="00F8196F">
        <w:rPr>
          <w:rFonts w:ascii="方正仿宋_GBK" w:eastAsia="方正仿宋_GBK" w:hint="eastAsia"/>
          <w:sz w:val="32"/>
          <w:szCs w:val="32"/>
        </w:rPr>
        <w:t>研究重点：系统梳理“双减”政策实施以来出现的各类法律问题，明确哪些措施应入法入</w:t>
      </w:r>
      <w:proofErr w:type="gramStart"/>
      <w:r w:rsidRPr="00F8196F">
        <w:rPr>
          <w:rFonts w:ascii="方正仿宋_GBK" w:eastAsia="方正仿宋_GBK" w:hint="eastAsia"/>
          <w:sz w:val="32"/>
          <w:szCs w:val="32"/>
        </w:rPr>
        <w:t>规</w:t>
      </w:r>
      <w:proofErr w:type="gramEnd"/>
      <w:r w:rsidRPr="00F8196F">
        <w:rPr>
          <w:rFonts w:ascii="方正仿宋_GBK" w:eastAsia="方正仿宋_GBK" w:hint="eastAsia"/>
          <w:sz w:val="32"/>
          <w:szCs w:val="32"/>
        </w:rPr>
        <w:t>，就政府、家长、机构等不同主体的义务，“双减”政策实施后的配套监管措施，如何规制教育服务机构等问题开展研究，切实为学生减负提供法律保障。</w:t>
      </w:r>
    </w:p>
    <w:p w:rsidR="00F8196F" w:rsidRPr="00F8196F" w:rsidRDefault="00F8196F" w:rsidP="00F8196F">
      <w:pPr>
        <w:pStyle w:val="a3"/>
        <w:ind w:firstLine="480"/>
        <w:rPr>
          <w:rFonts w:ascii="方正仿宋_GBK" w:eastAsia="方正仿宋_GBK" w:hint="eastAsia"/>
          <w:sz w:val="32"/>
          <w:szCs w:val="32"/>
        </w:rPr>
      </w:pPr>
      <w:r w:rsidRPr="00F8196F">
        <w:rPr>
          <w:rStyle w:val="a4"/>
          <w:rFonts w:ascii="方正仿宋_GBK" w:eastAsia="方正仿宋_GBK" w:hint="eastAsia"/>
          <w:sz w:val="32"/>
          <w:szCs w:val="32"/>
        </w:rPr>
        <w:t>八、网络空间法治教育现状、问题与治理研究</w:t>
      </w:r>
    </w:p>
    <w:p w:rsidR="00F8196F" w:rsidRPr="00F8196F" w:rsidRDefault="00F8196F" w:rsidP="00F8196F">
      <w:pPr>
        <w:pStyle w:val="a3"/>
        <w:ind w:firstLine="480"/>
        <w:rPr>
          <w:rFonts w:ascii="方正仿宋_GBK" w:eastAsia="方正仿宋_GBK" w:hint="eastAsia"/>
          <w:sz w:val="32"/>
          <w:szCs w:val="32"/>
        </w:rPr>
      </w:pPr>
      <w:r w:rsidRPr="00F8196F">
        <w:rPr>
          <w:rFonts w:ascii="方正仿宋_GBK" w:eastAsia="方正仿宋_GBK" w:hint="eastAsia"/>
          <w:sz w:val="32"/>
          <w:szCs w:val="32"/>
        </w:rPr>
        <w:t>研究重点：聚焦国家网络安全法治需要，紧紧围绕面向高校师生为主的网络法治教育的体系、内容、载体、举措、方法和评价考核机制等内容，就如何针对大中小学师生开展网络空间法治教育，教育引导广大师生依法依规使用网络、规制网络空间言行，共同维护国家网络法治环境，提出有效的政策建议。</w:t>
      </w:r>
    </w:p>
    <w:p w:rsidR="00F8196F" w:rsidRPr="00F8196F" w:rsidRDefault="00F8196F" w:rsidP="00F8196F">
      <w:pPr>
        <w:pStyle w:val="a3"/>
        <w:ind w:firstLine="480"/>
        <w:rPr>
          <w:rFonts w:ascii="方正仿宋_GBK" w:eastAsia="方正仿宋_GBK" w:hint="eastAsia"/>
          <w:sz w:val="32"/>
          <w:szCs w:val="32"/>
        </w:rPr>
      </w:pPr>
      <w:r w:rsidRPr="00F8196F">
        <w:rPr>
          <w:rStyle w:val="a4"/>
          <w:rFonts w:ascii="方正仿宋_GBK" w:eastAsia="方正仿宋_GBK" w:hint="eastAsia"/>
          <w:sz w:val="32"/>
          <w:szCs w:val="32"/>
        </w:rPr>
        <w:t>九、民办高等教育资本化路径与风险防控研究</w:t>
      </w:r>
    </w:p>
    <w:p w:rsidR="00F8196F" w:rsidRPr="00F8196F" w:rsidRDefault="00F8196F" w:rsidP="00F8196F">
      <w:pPr>
        <w:pStyle w:val="a3"/>
        <w:ind w:firstLine="480"/>
        <w:rPr>
          <w:rFonts w:ascii="方正仿宋_GBK" w:eastAsia="方正仿宋_GBK" w:hint="eastAsia"/>
          <w:sz w:val="32"/>
          <w:szCs w:val="32"/>
        </w:rPr>
      </w:pPr>
      <w:r w:rsidRPr="00F8196F">
        <w:rPr>
          <w:rFonts w:ascii="方正仿宋_GBK" w:eastAsia="方正仿宋_GBK" w:hint="eastAsia"/>
          <w:sz w:val="32"/>
          <w:szCs w:val="32"/>
        </w:rPr>
        <w:lastRenderedPageBreak/>
        <w:t>研究重点：梳理分类管理后民办高等教育资本进入的主要路径，资本进入对民办教育的影响，包括信息公开、融资优势、经营者集中、对公益属性的影响等，形成民办教育资本化风险的防控机制。</w:t>
      </w:r>
    </w:p>
    <w:p w:rsidR="00F8196F" w:rsidRPr="00F8196F" w:rsidRDefault="00F8196F" w:rsidP="00F8196F">
      <w:pPr>
        <w:pStyle w:val="a3"/>
        <w:ind w:firstLine="480"/>
        <w:rPr>
          <w:rFonts w:ascii="方正仿宋_GBK" w:eastAsia="方正仿宋_GBK" w:hint="eastAsia"/>
          <w:sz w:val="32"/>
          <w:szCs w:val="32"/>
        </w:rPr>
      </w:pPr>
      <w:r w:rsidRPr="00F8196F">
        <w:rPr>
          <w:rStyle w:val="a4"/>
          <w:rFonts w:ascii="方正仿宋_GBK" w:eastAsia="方正仿宋_GBK" w:hint="eastAsia"/>
          <w:sz w:val="32"/>
          <w:szCs w:val="32"/>
        </w:rPr>
        <w:t>十、“大思政课”建设综合实验区的体系研究</w:t>
      </w:r>
    </w:p>
    <w:p w:rsidR="00F8196F" w:rsidRPr="00F8196F" w:rsidRDefault="00F8196F" w:rsidP="00F8196F">
      <w:pPr>
        <w:pStyle w:val="a3"/>
        <w:ind w:firstLine="480"/>
        <w:rPr>
          <w:rFonts w:ascii="方正仿宋_GBK" w:eastAsia="方正仿宋_GBK" w:hint="eastAsia"/>
          <w:sz w:val="32"/>
          <w:szCs w:val="32"/>
        </w:rPr>
      </w:pPr>
      <w:r w:rsidRPr="00F8196F">
        <w:rPr>
          <w:rFonts w:ascii="方正仿宋_GBK" w:eastAsia="方正仿宋_GBK" w:hint="eastAsia"/>
          <w:sz w:val="32"/>
          <w:szCs w:val="32"/>
        </w:rPr>
        <w:t>研究重点：深入学习贯彻习近平总书记关于“大思政课”的重要指示精神，着眼于</w:t>
      </w:r>
      <w:proofErr w:type="gramStart"/>
      <w:r w:rsidRPr="00F8196F">
        <w:rPr>
          <w:rFonts w:ascii="方正仿宋_GBK" w:eastAsia="方正仿宋_GBK" w:hint="eastAsia"/>
          <w:sz w:val="32"/>
          <w:szCs w:val="32"/>
        </w:rPr>
        <w:t>思政课</w:t>
      </w:r>
      <w:proofErr w:type="gramEnd"/>
      <w:r w:rsidRPr="00F8196F">
        <w:rPr>
          <w:rFonts w:ascii="方正仿宋_GBK" w:eastAsia="方正仿宋_GBK" w:hint="eastAsia"/>
          <w:sz w:val="32"/>
          <w:szCs w:val="32"/>
        </w:rPr>
        <w:t>建设的最新历史方位和要求，着重研究善用“大思政课”的理论要义、实践导向，研究“大思政课”建设综合实验区的创新举措，不断提升</w:t>
      </w:r>
      <w:proofErr w:type="gramStart"/>
      <w:r w:rsidRPr="00F8196F">
        <w:rPr>
          <w:rFonts w:ascii="方正仿宋_GBK" w:eastAsia="方正仿宋_GBK" w:hint="eastAsia"/>
          <w:sz w:val="32"/>
          <w:szCs w:val="32"/>
        </w:rPr>
        <w:t>思政课</w:t>
      </w:r>
      <w:proofErr w:type="gramEnd"/>
      <w:r w:rsidRPr="00F8196F">
        <w:rPr>
          <w:rFonts w:ascii="方正仿宋_GBK" w:eastAsia="方正仿宋_GBK" w:hint="eastAsia"/>
          <w:sz w:val="32"/>
          <w:szCs w:val="32"/>
        </w:rPr>
        <w:t>的质量与效果。</w:t>
      </w:r>
    </w:p>
    <w:p w:rsidR="00941918" w:rsidRPr="00F8196F" w:rsidRDefault="00941918">
      <w:pPr>
        <w:rPr>
          <w:rFonts w:ascii="方正仿宋_GBK" w:eastAsia="方正仿宋_GBK" w:hint="eastAsia"/>
          <w:sz w:val="32"/>
          <w:szCs w:val="32"/>
        </w:rPr>
      </w:pPr>
    </w:p>
    <w:sectPr w:rsidR="00941918" w:rsidRPr="00F8196F" w:rsidSect="009419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196F"/>
    <w:rsid w:val="00941918"/>
    <w:rsid w:val="00F819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9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196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8196F"/>
    <w:rPr>
      <w:b/>
      <w:bCs/>
    </w:rPr>
  </w:style>
</w:styles>
</file>

<file path=word/webSettings.xml><?xml version="1.0" encoding="utf-8"?>
<w:webSettings xmlns:r="http://schemas.openxmlformats.org/officeDocument/2006/relationships" xmlns:w="http://schemas.openxmlformats.org/wordprocessingml/2006/main">
  <w:divs>
    <w:div w:id="184616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207</Words>
  <Characters>1184</Characters>
  <Application>Microsoft Office Word</Application>
  <DocSecurity>0</DocSecurity>
  <Lines>9</Lines>
  <Paragraphs>2</Paragraphs>
  <ScaleCrop>false</ScaleCrop>
  <Company>Microsoft</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2022-05-26T14:30:00Z</dcterms:created>
  <dcterms:modified xsi:type="dcterms:W3CDTF">2022-05-26T14:31:00Z</dcterms:modified>
</cp:coreProperties>
</file>